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0D85" w14:textId="77777777" w:rsidR="00492909" w:rsidRPr="00FE7BAC" w:rsidRDefault="00492909" w:rsidP="00492909">
      <w:pPr>
        <w:ind w:firstLine="709"/>
        <w:jc w:val="right"/>
        <w:rPr>
          <w:rFonts w:ascii="Good Pro Light" w:hAnsi="Good Pro Light" w:cs="Tahoma"/>
          <w:sz w:val="16"/>
          <w:szCs w:val="18"/>
        </w:rPr>
      </w:pPr>
      <w:r w:rsidRPr="00FE7BAC">
        <w:rPr>
          <w:rFonts w:ascii="Good Pro Light" w:hAnsi="Good Pro Light" w:cs="Tahoma"/>
          <w:sz w:val="16"/>
          <w:szCs w:val="18"/>
        </w:rPr>
        <w:t>Утверждено решением Правления АО «</w:t>
      </w:r>
      <w:proofErr w:type="spellStart"/>
      <w:r w:rsidRPr="00FE7BAC">
        <w:rPr>
          <w:rFonts w:ascii="Good Pro Light" w:hAnsi="Good Pro Light" w:cs="Tahoma"/>
          <w:sz w:val="16"/>
          <w:szCs w:val="18"/>
        </w:rPr>
        <w:t>Фридом</w:t>
      </w:r>
      <w:proofErr w:type="spellEnd"/>
      <w:r w:rsidRPr="00FE7BAC">
        <w:rPr>
          <w:rFonts w:ascii="Good Pro Light" w:hAnsi="Good Pro Light" w:cs="Tahoma"/>
          <w:sz w:val="16"/>
          <w:szCs w:val="18"/>
        </w:rPr>
        <w:t xml:space="preserve"> Финанс»</w:t>
      </w:r>
    </w:p>
    <w:p w14:paraId="445B6D60" w14:textId="77777777" w:rsidR="00492909" w:rsidRPr="00FE7BAC" w:rsidRDefault="00492909" w:rsidP="00492909">
      <w:pPr>
        <w:jc w:val="right"/>
        <w:rPr>
          <w:rFonts w:ascii="Good Pro Light" w:hAnsi="Good Pro Light"/>
          <w:sz w:val="18"/>
        </w:rPr>
      </w:pPr>
      <w:r w:rsidRPr="00FE7BAC">
        <w:rPr>
          <w:rFonts w:ascii="Good Pro Light" w:hAnsi="Good Pro Light" w:cs="Tahoma"/>
          <w:sz w:val="16"/>
          <w:szCs w:val="18"/>
        </w:rPr>
        <w:t xml:space="preserve">Протокол </w:t>
      </w:r>
      <w:r w:rsidRPr="00B10F80">
        <w:rPr>
          <w:rFonts w:ascii="Good Pro Light" w:eastAsia="Batang" w:hAnsi="Good Pro Light" w:cs="Tahoma"/>
          <w:sz w:val="16"/>
          <w:szCs w:val="18"/>
        </w:rPr>
        <w:t xml:space="preserve">№ </w:t>
      </w:r>
      <w:r>
        <w:rPr>
          <w:rFonts w:ascii="Good Pro Light" w:eastAsia="Batang" w:hAnsi="Good Pro Light" w:cs="Tahoma"/>
          <w:sz w:val="16"/>
          <w:szCs w:val="18"/>
        </w:rPr>
        <w:t>03/</w:t>
      </w:r>
      <w:proofErr w:type="gramStart"/>
      <w:r>
        <w:rPr>
          <w:rFonts w:ascii="Good Pro Light" w:eastAsia="Batang" w:hAnsi="Good Pro Light" w:cs="Tahoma"/>
          <w:sz w:val="16"/>
          <w:szCs w:val="18"/>
        </w:rPr>
        <w:t xml:space="preserve">03  </w:t>
      </w:r>
      <w:r w:rsidRPr="00B10F80">
        <w:rPr>
          <w:rFonts w:ascii="Good Pro Light" w:eastAsia="Batang" w:hAnsi="Good Pro Light" w:cs="Tahoma"/>
          <w:sz w:val="16"/>
          <w:szCs w:val="18"/>
        </w:rPr>
        <w:t>от</w:t>
      </w:r>
      <w:proofErr w:type="gramEnd"/>
      <w:r w:rsidRPr="00B10F80">
        <w:rPr>
          <w:rFonts w:ascii="Good Pro Light" w:eastAsia="Batang" w:hAnsi="Good Pro Light" w:cs="Tahoma"/>
          <w:sz w:val="16"/>
          <w:szCs w:val="18"/>
        </w:rPr>
        <w:t xml:space="preserve"> </w:t>
      </w:r>
      <w:r>
        <w:rPr>
          <w:rFonts w:ascii="Good Pro Light" w:eastAsia="Batang" w:hAnsi="Good Pro Light" w:cs="Tahoma"/>
          <w:sz w:val="16"/>
          <w:szCs w:val="18"/>
        </w:rPr>
        <w:t xml:space="preserve">03 марта </w:t>
      </w:r>
      <w:r w:rsidRPr="00B10F80">
        <w:rPr>
          <w:rFonts w:ascii="Good Pro Light" w:eastAsia="Batang" w:hAnsi="Good Pro Light" w:cs="Tahoma"/>
          <w:sz w:val="16"/>
          <w:szCs w:val="18"/>
        </w:rPr>
        <w:t xml:space="preserve"> 20</w:t>
      </w:r>
      <w:r>
        <w:rPr>
          <w:rFonts w:ascii="Good Pro Light" w:eastAsia="Batang" w:hAnsi="Good Pro Light" w:cs="Tahoma"/>
          <w:sz w:val="16"/>
          <w:szCs w:val="18"/>
        </w:rPr>
        <w:t>22</w:t>
      </w:r>
      <w:r w:rsidRPr="00B10F80">
        <w:rPr>
          <w:rFonts w:ascii="Good Pro Light" w:eastAsia="Batang" w:hAnsi="Good Pro Light" w:cs="Tahoma"/>
          <w:sz w:val="16"/>
          <w:szCs w:val="18"/>
        </w:rPr>
        <w:t xml:space="preserve"> года</w:t>
      </w:r>
    </w:p>
    <w:p w14:paraId="027FCF59" w14:textId="77777777" w:rsidR="00492909" w:rsidRPr="008D737F" w:rsidRDefault="00492909" w:rsidP="00492909">
      <w:pPr>
        <w:rPr>
          <w:rFonts w:ascii="GoodPro" w:hAnsi="GoodPro" w:cs="Tahoma"/>
          <w:sz w:val="16"/>
          <w:szCs w:val="16"/>
        </w:rPr>
      </w:pPr>
    </w:p>
    <w:p w14:paraId="7C424A24" w14:textId="77777777" w:rsidR="00492909" w:rsidRPr="00FE7BAC" w:rsidRDefault="00492909" w:rsidP="00492909">
      <w:pPr>
        <w:jc w:val="center"/>
        <w:rPr>
          <w:rFonts w:ascii="Good Pro Medium" w:hAnsi="Good Pro Medium" w:cs="Tahoma"/>
          <w:szCs w:val="16"/>
          <w:lang w:val="kk-KZ"/>
        </w:rPr>
      </w:pPr>
      <w:r w:rsidRPr="00FE7BAC">
        <w:rPr>
          <w:rFonts w:ascii="Good Pro Medium" w:hAnsi="Good Pro Medium" w:cs="Tahoma"/>
          <w:szCs w:val="16"/>
          <w:lang w:val="kk-KZ"/>
        </w:rPr>
        <w:t>ТАРИФ «</w:t>
      </w:r>
      <w:r w:rsidRPr="00FE7BAC">
        <w:rPr>
          <w:rFonts w:ascii="Good Pro Medium" w:hAnsi="Good Pro Medium" w:cs="Tahoma"/>
          <w:szCs w:val="16"/>
          <w:lang w:val="en-US"/>
        </w:rPr>
        <w:t>BALANCE</w:t>
      </w:r>
      <w:r w:rsidRPr="00FE7BAC">
        <w:rPr>
          <w:rFonts w:ascii="Good Pro Medium" w:hAnsi="Good Pro Medium" w:cs="Tahoma"/>
          <w:szCs w:val="16"/>
          <w:lang w:val="kk-KZ"/>
        </w:rPr>
        <w:t xml:space="preserve">» на оказание усуг АО </w:t>
      </w:r>
      <w:r w:rsidRPr="00FE7BAC">
        <w:rPr>
          <w:rFonts w:ascii="Good Pro Medium" w:hAnsi="Good Pro Medium" w:cs="Tahoma"/>
          <w:szCs w:val="16"/>
        </w:rPr>
        <w:t>«</w:t>
      </w:r>
      <w:r w:rsidRPr="00FE7BAC">
        <w:rPr>
          <w:rFonts w:ascii="Good Pro Medium" w:hAnsi="Good Pro Medium" w:cs="Tahoma"/>
          <w:szCs w:val="16"/>
          <w:lang w:val="kk-KZ"/>
        </w:rPr>
        <w:t>Фридом Финанс»</w:t>
      </w:r>
    </w:p>
    <w:p w14:paraId="16234BDB" w14:textId="3F74859E" w:rsidR="00492909" w:rsidRPr="008D737F" w:rsidRDefault="00492909" w:rsidP="00492909">
      <w:pPr>
        <w:jc w:val="center"/>
        <w:rPr>
          <w:rFonts w:ascii="GoodPro" w:hAnsi="GoodPro" w:cs="Tahoma"/>
          <w:sz w:val="16"/>
          <w:szCs w:val="16"/>
          <w:lang w:val="kk-KZ"/>
        </w:rPr>
      </w:pPr>
      <w:r w:rsidRPr="0038402A">
        <w:rPr>
          <w:rFonts w:ascii="GoodPro" w:hAnsi="GoodPro" w:cs="Tahoma"/>
          <w:sz w:val="16"/>
          <w:szCs w:val="16"/>
          <w:lang w:val="kk-KZ"/>
        </w:rPr>
        <w:t xml:space="preserve">(тариф вводится в действие с </w:t>
      </w:r>
      <w:r w:rsidR="007105DE" w:rsidRPr="007105DE">
        <w:rPr>
          <w:rFonts w:ascii="GoodPro" w:hAnsi="GoodPro" w:cs="Tahoma"/>
          <w:sz w:val="16"/>
          <w:szCs w:val="16"/>
          <w:lang w:val="kk-KZ"/>
        </w:rPr>
        <w:t>с 25 марта 2022 года</w:t>
      </w:r>
      <w:r w:rsidRPr="0038402A">
        <w:rPr>
          <w:rFonts w:ascii="GoodPro" w:hAnsi="GoodPro" w:cs="Tahoma"/>
          <w:sz w:val="16"/>
          <w:szCs w:val="16"/>
          <w:lang w:val="kk-KZ"/>
        </w:rPr>
        <w:t>)</w:t>
      </w:r>
    </w:p>
    <w:p w14:paraId="6321D604" w14:textId="77777777" w:rsidR="00492909" w:rsidRPr="008D737F" w:rsidRDefault="00492909" w:rsidP="00492909">
      <w:pPr>
        <w:jc w:val="right"/>
        <w:rPr>
          <w:rFonts w:ascii="GoodPro" w:hAnsi="GoodPro" w:cs="Tahoma"/>
          <w:sz w:val="18"/>
          <w:szCs w:val="18"/>
          <w:lang w:val="kk-KZ"/>
        </w:rPr>
      </w:pPr>
    </w:p>
    <w:tbl>
      <w:tblPr>
        <w:tblW w:w="988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4"/>
        <w:gridCol w:w="5386"/>
        <w:gridCol w:w="3906"/>
      </w:tblGrid>
      <w:tr w:rsidR="00492909" w:rsidRPr="008D737F" w14:paraId="392EE19B" w14:textId="77777777" w:rsidTr="00F26238">
        <w:trPr>
          <w:trHeight w:val="397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41C3FE8" w14:textId="77777777" w:rsidR="00492909" w:rsidRPr="00FC6B96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 Pro Medium" w:hAnsi="Good Pro Medium" w:cs="Tahoma"/>
                <w:bCs/>
                <w:sz w:val="16"/>
                <w:szCs w:val="16"/>
              </w:rPr>
            </w:pPr>
            <w:r w:rsidRPr="00FC6B96">
              <w:rPr>
                <w:rFonts w:ascii="Good Pro Medium" w:hAnsi="Good Pro Medium" w:cs="Tahoma"/>
                <w:bCs/>
                <w:sz w:val="16"/>
                <w:szCs w:val="16"/>
              </w:rPr>
              <w:t>№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ACC62B2" w14:textId="77777777" w:rsidR="00492909" w:rsidRPr="00FC6B96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 Pro Medium" w:hAnsi="Good Pro Medium" w:cs="Tahoma"/>
                <w:bCs/>
                <w:sz w:val="16"/>
                <w:szCs w:val="16"/>
              </w:rPr>
            </w:pPr>
            <w:r w:rsidRPr="00FC6B96">
              <w:rPr>
                <w:rFonts w:ascii="Good Pro Medium" w:hAnsi="Good Pro Medium" w:cs="Tahoma"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DF34871" w14:textId="77777777" w:rsidR="00492909" w:rsidRPr="00FC6B96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 Pro Medium" w:hAnsi="Good Pro Medium" w:cs="Tahoma"/>
                <w:bCs/>
                <w:sz w:val="16"/>
                <w:szCs w:val="16"/>
              </w:rPr>
            </w:pPr>
            <w:r w:rsidRPr="00FC6B96">
              <w:rPr>
                <w:rFonts w:ascii="Good Pro Medium" w:hAnsi="Good Pro Medium" w:cs="Tahoma"/>
                <w:bCs/>
                <w:sz w:val="16"/>
                <w:szCs w:val="16"/>
              </w:rPr>
              <w:t>ТАРИФ</w:t>
            </w:r>
          </w:p>
        </w:tc>
      </w:tr>
      <w:tr w:rsidR="00492909" w:rsidRPr="008D737F" w14:paraId="3187A232" w14:textId="77777777" w:rsidTr="00F26238">
        <w:trPr>
          <w:trHeight w:val="276"/>
        </w:trPr>
        <w:tc>
          <w:tcPr>
            <w:tcW w:w="9886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14:paraId="5691C6E2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b/>
                <w:sz w:val="16"/>
                <w:szCs w:val="16"/>
              </w:rPr>
            </w:pPr>
            <w:r w:rsidRPr="008D737F">
              <w:rPr>
                <w:rFonts w:ascii="GoodPro" w:hAnsi="GoodPro" w:cs="Tahoma"/>
                <w:b/>
                <w:sz w:val="16"/>
                <w:szCs w:val="16"/>
              </w:rPr>
              <w:t>1. БРОКЕРСКИЕ УСЛУГИ</w:t>
            </w:r>
          </w:p>
        </w:tc>
      </w:tr>
      <w:tr w:rsidR="00492909" w:rsidRPr="008D737F" w14:paraId="270CAF01" w14:textId="77777777" w:rsidTr="00F26238">
        <w:trPr>
          <w:trHeight w:val="284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26B1" w14:textId="77777777" w:rsidR="00492909" w:rsidRPr="00F8156C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</w:rPr>
            </w:pPr>
            <w:r w:rsidRPr="00F8156C">
              <w:rPr>
                <w:rFonts w:ascii="GoodPro" w:hAnsi="GoodPro" w:cs="Tahoma"/>
                <w:sz w:val="16"/>
                <w:szCs w:val="16"/>
              </w:rPr>
              <w:t>1.1.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1590" w14:textId="77777777" w:rsidR="00492909" w:rsidRPr="00F8156C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F8156C">
              <w:rPr>
                <w:rFonts w:ascii="GoodPro" w:hAnsi="GoodPro" w:cs="Tahoma"/>
                <w:sz w:val="16"/>
                <w:szCs w:val="16"/>
              </w:rPr>
              <w:t>Покупка</w:t>
            </w:r>
            <w:r w:rsidRPr="00F8156C">
              <w:rPr>
                <w:rFonts w:ascii="GoodPro" w:hAnsi="GoodPro" w:cs="Tahoma"/>
                <w:sz w:val="16"/>
                <w:szCs w:val="16"/>
                <w:lang w:val="kk-KZ"/>
              </w:rPr>
              <w:t xml:space="preserve"> </w:t>
            </w:r>
            <w:r w:rsidRPr="00F8156C">
              <w:rPr>
                <w:rFonts w:ascii="GoodPro" w:hAnsi="GoodPro" w:cs="Tahoma"/>
                <w:sz w:val="16"/>
                <w:szCs w:val="16"/>
              </w:rPr>
              <w:t>/</w:t>
            </w:r>
            <w:r w:rsidRPr="00F8156C">
              <w:rPr>
                <w:rFonts w:ascii="GoodPro" w:hAnsi="GoodPro" w:cs="Tahoma"/>
                <w:sz w:val="16"/>
                <w:szCs w:val="16"/>
                <w:lang w:val="kk-KZ"/>
              </w:rPr>
              <w:t xml:space="preserve"> </w:t>
            </w:r>
            <w:r w:rsidRPr="00F8156C">
              <w:rPr>
                <w:rFonts w:ascii="GoodPro" w:hAnsi="GoodPro" w:cs="Tahoma"/>
                <w:sz w:val="16"/>
                <w:szCs w:val="16"/>
              </w:rPr>
              <w:t xml:space="preserve">продажа финансовых инструментов на организованном рынке 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172B" w14:textId="77777777" w:rsidR="00492909" w:rsidRPr="00F8156C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</w:p>
        </w:tc>
      </w:tr>
      <w:tr w:rsidR="00492909" w:rsidRPr="008D737F" w14:paraId="26019740" w14:textId="77777777" w:rsidTr="00F26238">
        <w:trPr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7FCC" w14:textId="77777777" w:rsidR="00492909" w:rsidRPr="00F8156C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</w:rPr>
            </w:pPr>
            <w:r w:rsidRPr="00F8156C">
              <w:rPr>
                <w:rFonts w:ascii="GoodPro" w:hAnsi="GoodPro" w:cs="Tahoma"/>
                <w:sz w:val="16"/>
                <w:szCs w:val="16"/>
              </w:rPr>
              <w:t>1.1.1.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850E" w14:textId="77777777" w:rsidR="00492909" w:rsidRPr="00F8156C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  <w:lang w:val="en-US"/>
              </w:rPr>
            </w:pPr>
            <w:r w:rsidRPr="00F8156C">
              <w:rPr>
                <w:rFonts w:ascii="GoodPro" w:hAnsi="GoodPro" w:cs="Tahoma"/>
                <w:sz w:val="16"/>
                <w:szCs w:val="16"/>
                <w:lang w:val="en-US"/>
              </w:rPr>
              <w:t xml:space="preserve">       KASE (</w:t>
            </w:r>
            <w:r w:rsidRPr="00F8156C">
              <w:rPr>
                <w:rFonts w:ascii="GoodPro" w:hAnsi="GoodPro" w:cs="Tahoma"/>
                <w:sz w:val="16"/>
                <w:szCs w:val="16"/>
              </w:rPr>
              <w:t>Казахстанская Фондовая Биржа</w:t>
            </w:r>
            <w:r w:rsidRPr="00F8156C">
              <w:rPr>
                <w:rFonts w:ascii="GoodPro" w:hAnsi="GoodPro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6306" w14:textId="77777777" w:rsidR="00492909" w:rsidRPr="00F8156C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F8156C">
              <w:rPr>
                <w:rFonts w:ascii="GoodPro" w:hAnsi="GoodPro" w:cs="Tahoma"/>
                <w:sz w:val="16"/>
                <w:szCs w:val="16"/>
              </w:rPr>
              <w:t>0,045% от суммы сделки</w:t>
            </w:r>
            <w:r w:rsidRPr="00F8156C">
              <w:rPr>
                <w:rFonts w:ascii="GoodPro" w:hAnsi="GoodPro" w:cs="Tahoma"/>
                <w:sz w:val="16"/>
                <w:szCs w:val="16"/>
                <w:lang w:val="kk-KZ"/>
              </w:rPr>
              <w:t>*</w:t>
            </w:r>
          </w:p>
        </w:tc>
      </w:tr>
      <w:tr w:rsidR="00492909" w:rsidRPr="008D737F" w14:paraId="39190854" w14:textId="77777777" w:rsidTr="00F26238">
        <w:trPr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53" w14:textId="77777777" w:rsidR="00492909" w:rsidRPr="00F8156C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</w:rPr>
            </w:pPr>
            <w:r w:rsidRPr="00F8156C">
              <w:rPr>
                <w:rFonts w:ascii="GoodPro" w:hAnsi="GoodPro" w:cs="Tahoma"/>
                <w:sz w:val="16"/>
                <w:szCs w:val="16"/>
              </w:rPr>
              <w:t>1.1.2.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8F28" w14:textId="77777777" w:rsidR="00492909" w:rsidRPr="00F8156C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F8156C">
              <w:rPr>
                <w:rFonts w:ascii="GoodPro" w:hAnsi="GoodPro" w:cs="Tahoma"/>
                <w:sz w:val="16"/>
                <w:szCs w:val="16"/>
              </w:rPr>
              <w:t xml:space="preserve">       </w:t>
            </w:r>
            <w:r w:rsidRPr="00F8156C">
              <w:rPr>
                <w:rFonts w:ascii="GoodPro" w:hAnsi="GoodPro" w:cs="Tahoma"/>
                <w:sz w:val="16"/>
                <w:szCs w:val="16"/>
                <w:lang w:val="en-US"/>
              </w:rPr>
              <w:t>AIX</w:t>
            </w:r>
            <w:r w:rsidRPr="00F8156C">
              <w:rPr>
                <w:rFonts w:ascii="GoodPro" w:hAnsi="GoodPro" w:cs="Tahoma"/>
                <w:sz w:val="16"/>
                <w:szCs w:val="16"/>
              </w:rPr>
              <w:t xml:space="preserve"> (Биржа Международного финансового центра Астана)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E0BA" w14:textId="77777777" w:rsidR="00492909" w:rsidRPr="00F8156C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F8156C">
              <w:rPr>
                <w:rFonts w:ascii="GoodPro" w:hAnsi="GoodPro" w:cs="Tahoma"/>
                <w:sz w:val="16"/>
                <w:szCs w:val="16"/>
              </w:rPr>
              <w:t>0,095% от суммы сделки</w:t>
            </w:r>
            <w:r w:rsidRPr="00F8156C">
              <w:rPr>
                <w:rFonts w:ascii="GoodPro" w:hAnsi="GoodPro" w:cs="Tahoma"/>
                <w:sz w:val="16"/>
                <w:szCs w:val="16"/>
                <w:lang w:val="kk-KZ"/>
              </w:rPr>
              <w:t>*</w:t>
            </w:r>
            <w:r w:rsidRPr="00F8156C">
              <w:rPr>
                <w:rFonts w:ascii="GoodPro" w:hAnsi="GoodPro" w:cs="Tahoma"/>
                <w:sz w:val="16"/>
                <w:szCs w:val="16"/>
              </w:rPr>
              <w:br/>
              <w:t xml:space="preserve">минимум </w:t>
            </w:r>
            <w:r>
              <w:rPr>
                <w:rFonts w:ascii="GoodPro" w:hAnsi="GoodPro" w:cs="Tahoma"/>
                <w:sz w:val="16"/>
                <w:szCs w:val="16"/>
              </w:rPr>
              <w:t>1000</w:t>
            </w:r>
            <w:r w:rsidRPr="00F8156C">
              <w:rPr>
                <w:rFonts w:ascii="GoodPro" w:hAnsi="GoodPro" w:cs="Tahoma"/>
                <w:sz w:val="16"/>
                <w:szCs w:val="16"/>
              </w:rPr>
              <w:t xml:space="preserve"> тенге за сделку </w:t>
            </w:r>
          </w:p>
        </w:tc>
      </w:tr>
      <w:tr w:rsidR="00492909" w:rsidRPr="008D737F" w14:paraId="296B7C4B" w14:textId="77777777" w:rsidTr="00F26238">
        <w:trPr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404E" w14:textId="77777777" w:rsidR="00492909" w:rsidRPr="00F8156C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</w:rPr>
            </w:pPr>
            <w:r w:rsidRPr="00F8156C">
              <w:rPr>
                <w:rFonts w:ascii="GoodPro" w:hAnsi="GoodPro" w:cs="Tahoma"/>
                <w:sz w:val="16"/>
                <w:szCs w:val="16"/>
              </w:rPr>
              <w:t>1.</w:t>
            </w:r>
            <w:r>
              <w:rPr>
                <w:rFonts w:ascii="GoodPro" w:hAnsi="GoodPro" w:cs="Tahoma"/>
                <w:sz w:val="16"/>
                <w:szCs w:val="16"/>
              </w:rPr>
              <w:t>2</w:t>
            </w:r>
            <w:r w:rsidRPr="00F8156C">
              <w:rPr>
                <w:rFonts w:ascii="GoodPro" w:hAnsi="GoodPro" w:cs="Tahoma"/>
                <w:sz w:val="16"/>
                <w:szCs w:val="1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B63E" w14:textId="77777777" w:rsidR="00492909" w:rsidRPr="00F8156C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F8156C">
              <w:rPr>
                <w:rFonts w:ascii="GoodPro" w:hAnsi="GoodPro" w:cs="Tahoma"/>
                <w:sz w:val="16"/>
                <w:szCs w:val="16"/>
              </w:rPr>
              <w:t>Покупка</w:t>
            </w:r>
            <w:r w:rsidRPr="00F8156C">
              <w:rPr>
                <w:rFonts w:ascii="GoodPro" w:hAnsi="GoodPro" w:cs="Tahoma"/>
                <w:sz w:val="16"/>
                <w:szCs w:val="16"/>
                <w:lang w:val="kk-KZ"/>
              </w:rPr>
              <w:t xml:space="preserve"> </w:t>
            </w:r>
            <w:r w:rsidRPr="00F8156C">
              <w:rPr>
                <w:rFonts w:ascii="GoodPro" w:hAnsi="GoodPro" w:cs="Tahoma"/>
                <w:sz w:val="16"/>
                <w:szCs w:val="16"/>
              </w:rPr>
              <w:t>/</w:t>
            </w:r>
            <w:r w:rsidRPr="00F8156C">
              <w:rPr>
                <w:rFonts w:ascii="GoodPro" w:hAnsi="GoodPro" w:cs="Tahoma"/>
                <w:sz w:val="16"/>
                <w:szCs w:val="16"/>
                <w:lang w:val="kk-KZ"/>
              </w:rPr>
              <w:t xml:space="preserve"> </w:t>
            </w:r>
            <w:r w:rsidRPr="00F8156C">
              <w:rPr>
                <w:rFonts w:ascii="GoodPro" w:hAnsi="GoodPro" w:cs="Tahoma"/>
                <w:sz w:val="16"/>
                <w:szCs w:val="16"/>
              </w:rPr>
              <w:t>продажа финансовых инструментов на неорганизованном рынке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546B" w14:textId="77777777" w:rsidR="00492909" w:rsidRPr="00F8156C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F8156C">
              <w:rPr>
                <w:rFonts w:ascii="GoodPro" w:hAnsi="GoodPro" w:cs="Tahoma"/>
                <w:sz w:val="16"/>
                <w:szCs w:val="16"/>
              </w:rPr>
              <w:t>0,5% от суммы сделки (</w:t>
            </w:r>
            <w:r w:rsidRPr="00F8156C">
              <w:rPr>
                <w:rFonts w:ascii="GoodPro" w:hAnsi="GoodPro" w:cs="Tahoma"/>
                <w:sz w:val="16"/>
                <w:szCs w:val="16"/>
                <w:lang w:val="kk-KZ"/>
              </w:rPr>
              <w:t>минимум</w:t>
            </w:r>
            <w:r w:rsidRPr="00F8156C">
              <w:rPr>
                <w:rFonts w:ascii="GoodPro" w:hAnsi="GoodPro" w:cs="Tahoma"/>
                <w:sz w:val="16"/>
                <w:szCs w:val="16"/>
              </w:rPr>
              <w:t xml:space="preserve"> 10 000 тенге**)</w:t>
            </w:r>
          </w:p>
        </w:tc>
      </w:tr>
      <w:tr w:rsidR="00492909" w:rsidRPr="008D737F" w14:paraId="1F105F69" w14:textId="77777777" w:rsidTr="00F26238">
        <w:trPr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009F" w14:textId="77777777" w:rsidR="00492909" w:rsidRPr="00E17647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1.</w:t>
            </w:r>
            <w:r>
              <w:rPr>
                <w:rFonts w:ascii="GoodPro" w:hAnsi="GoodPro" w:cs="Tahoma"/>
                <w:sz w:val="16"/>
                <w:szCs w:val="16"/>
              </w:rPr>
              <w:t>3</w:t>
            </w:r>
            <w:r w:rsidRPr="00E17647">
              <w:rPr>
                <w:rFonts w:ascii="GoodPro" w:hAnsi="GoodPro" w:cs="Tahoma"/>
                <w:sz w:val="16"/>
                <w:szCs w:val="1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9027" w14:textId="77777777" w:rsidR="00492909" w:rsidRPr="00E17647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Покупка</w:t>
            </w:r>
            <w:r w:rsidRPr="00E17647">
              <w:rPr>
                <w:rFonts w:ascii="GoodPro" w:hAnsi="GoodPro" w:cs="Tahoma"/>
                <w:sz w:val="16"/>
                <w:szCs w:val="16"/>
                <w:lang w:val="kk-KZ"/>
              </w:rPr>
              <w:t xml:space="preserve"> </w:t>
            </w:r>
            <w:r w:rsidRPr="00E17647">
              <w:rPr>
                <w:rFonts w:ascii="GoodPro" w:hAnsi="GoodPro" w:cs="Tahoma"/>
                <w:sz w:val="16"/>
                <w:szCs w:val="16"/>
              </w:rPr>
              <w:t>/</w:t>
            </w:r>
            <w:r w:rsidRPr="00E17647">
              <w:rPr>
                <w:rFonts w:ascii="GoodPro" w:hAnsi="GoodPro" w:cs="Tahoma"/>
                <w:sz w:val="16"/>
                <w:szCs w:val="16"/>
                <w:lang w:val="kk-KZ"/>
              </w:rPr>
              <w:t xml:space="preserve"> </w:t>
            </w:r>
            <w:r w:rsidRPr="00E17647">
              <w:rPr>
                <w:rFonts w:ascii="GoodPro" w:hAnsi="GoodPro" w:cs="Tahoma"/>
                <w:sz w:val="16"/>
                <w:szCs w:val="16"/>
              </w:rPr>
              <w:t>продажа финансовых инструментов на международных рынках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1171" w14:textId="77777777" w:rsidR="00492909" w:rsidRPr="00E17647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0,3% от суммы сделки</w:t>
            </w:r>
          </w:p>
          <w:p w14:paraId="6154FDC1" w14:textId="77777777" w:rsidR="00492909" w:rsidRPr="00E17647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(минимум 10 000 тенге), в случае проведения сделки через AIX - 0,50% от</w:t>
            </w:r>
          </w:p>
          <w:p w14:paraId="1497CFEC" w14:textId="77777777" w:rsidR="00492909" w:rsidRPr="00E17647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стоимости сделки, минимум 60 000 тенге"</w:t>
            </w:r>
          </w:p>
        </w:tc>
      </w:tr>
      <w:tr w:rsidR="00492909" w:rsidRPr="008D737F" w14:paraId="1FDF1BBB" w14:textId="77777777" w:rsidTr="00F26238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0E58" w14:textId="77777777" w:rsidR="00492909" w:rsidRPr="00E17647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1.</w:t>
            </w:r>
            <w:r>
              <w:rPr>
                <w:rFonts w:ascii="GoodPro" w:hAnsi="GoodPro" w:cs="Tahoma"/>
                <w:sz w:val="16"/>
                <w:szCs w:val="16"/>
              </w:rPr>
              <w:t>4</w:t>
            </w:r>
            <w:r w:rsidRPr="00E17647">
              <w:rPr>
                <w:rFonts w:ascii="GoodPro" w:hAnsi="GoodPro" w:cs="Tahoma"/>
                <w:sz w:val="16"/>
                <w:szCs w:val="1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1F96" w14:textId="77777777" w:rsidR="00492909" w:rsidRPr="00E17647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Операции РЕПО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7A43" w14:textId="77777777" w:rsidR="00492909" w:rsidRPr="00E17647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0,001% от объема открытия операции за каждый день, 1</w:t>
            </w:r>
            <w:r w:rsidRPr="00E17647">
              <w:rPr>
                <w:rFonts w:ascii="GoodPro" w:hAnsi="GoodPro" w:cs="Tahoma"/>
                <w:sz w:val="16"/>
                <w:szCs w:val="16"/>
                <w:lang w:val="kk-KZ"/>
              </w:rPr>
              <w:t xml:space="preserve"> </w:t>
            </w:r>
            <w:r w:rsidRPr="00E17647">
              <w:rPr>
                <w:rFonts w:ascii="GoodPro" w:hAnsi="GoodPro" w:cs="Tahoma"/>
                <w:sz w:val="16"/>
                <w:szCs w:val="16"/>
              </w:rPr>
              <w:t>000 тенге за операцию РЕПО</w:t>
            </w:r>
            <w:r w:rsidRPr="00E17647">
              <w:rPr>
                <w:rFonts w:ascii="GoodPro" w:hAnsi="GoodPro" w:cs="Tahoma"/>
                <w:sz w:val="16"/>
                <w:szCs w:val="16"/>
                <w:lang w:val="kk-KZ"/>
              </w:rPr>
              <w:t xml:space="preserve"> </w:t>
            </w:r>
            <w:r w:rsidRPr="00E17647">
              <w:rPr>
                <w:rFonts w:ascii="GoodPro" w:hAnsi="GoodPro" w:cs="Tahoma"/>
                <w:sz w:val="16"/>
                <w:szCs w:val="16"/>
              </w:rPr>
              <w:t>(за открытие и закрытие РЕПО)</w:t>
            </w:r>
          </w:p>
        </w:tc>
      </w:tr>
      <w:tr w:rsidR="00492909" w:rsidRPr="008D737F" w14:paraId="7D5312FE" w14:textId="77777777" w:rsidTr="00F26238">
        <w:trPr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A209" w14:textId="77777777" w:rsidR="00492909" w:rsidRPr="00E17647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1.</w:t>
            </w:r>
            <w:r>
              <w:rPr>
                <w:rFonts w:ascii="GoodPro" w:hAnsi="GoodPro" w:cs="Tahoma"/>
                <w:sz w:val="16"/>
                <w:szCs w:val="16"/>
              </w:rPr>
              <w:t>5</w:t>
            </w:r>
            <w:r w:rsidRPr="00E17647">
              <w:rPr>
                <w:rFonts w:ascii="GoodPro" w:hAnsi="GoodPro" w:cs="Tahoma"/>
                <w:sz w:val="16"/>
                <w:szCs w:val="1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0996" w14:textId="77777777" w:rsidR="00492909" w:rsidRPr="00E17647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Пролонгация / изменение параметров операции РЕПО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A2ED" w14:textId="77777777" w:rsidR="00492909" w:rsidRPr="00E17647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1 000 тенге</w:t>
            </w:r>
          </w:p>
        </w:tc>
      </w:tr>
      <w:tr w:rsidR="00492909" w:rsidRPr="008D737F" w14:paraId="7A3EDF68" w14:textId="77777777" w:rsidTr="00F26238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A39D" w14:textId="77777777" w:rsidR="00492909" w:rsidRPr="00E17647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1.</w:t>
            </w:r>
            <w:r>
              <w:rPr>
                <w:rFonts w:ascii="GoodPro" w:hAnsi="GoodPro" w:cs="Tahoma"/>
                <w:sz w:val="16"/>
                <w:szCs w:val="16"/>
              </w:rPr>
              <w:t>6</w:t>
            </w:r>
            <w:r w:rsidRPr="00E17647">
              <w:rPr>
                <w:rFonts w:ascii="GoodPro" w:hAnsi="GoodPro" w:cs="Tahoma"/>
                <w:sz w:val="16"/>
                <w:szCs w:val="1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BC4A" w14:textId="77777777" w:rsidR="00492909" w:rsidRPr="00AA458A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AA458A">
              <w:rPr>
                <w:rFonts w:ascii="GoodPro" w:hAnsi="GoodPro" w:cs="Tahoma"/>
                <w:sz w:val="16"/>
                <w:szCs w:val="16"/>
              </w:rPr>
              <w:t>Операция по переносу непокрытых позиций (в тенге)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3F45" w14:textId="77777777" w:rsidR="00492909" w:rsidRPr="00E514A4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E514A4">
              <w:rPr>
                <w:rFonts w:ascii="GoodPro" w:hAnsi="GoodPro" w:cs="Tahoma"/>
                <w:sz w:val="16"/>
                <w:szCs w:val="16"/>
              </w:rPr>
              <w:t>0,02% от объема открытия операции за каждый день (минимум 10 тенге)</w:t>
            </w:r>
          </w:p>
          <w:p w14:paraId="0D51127C" w14:textId="77777777" w:rsidR="00492909" w:rsidRPr="00AA458A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E514A4">
              <w:rPr>
                <w:rFonts w:ascii="GoodPro" w:hAnsi="GoodPro" w:cs="Tahoma"/>
                <w:sz w:val="16"/>
                <w:szCs w:val="16"/>
              </w:rPr>
              <w:t>Ставка вознаграждения по операции по переносу непокрытых позиций равна значению суммы ставки по операциям постоянного доступа по предоставлению ликвидности Национального Банка Республики Казахстан и маржи в размере 4% годовых, но не менее 15% годовых</w:t>
            </w:r>
          </w:p>
        </w:tc>
      </w:tr>
      <w:tr w:rsidR="00492909" w:rsidRPr="008D737F" w14:paraId="7486971C" w14:textId="77777777" w:rsidTr="00F26238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9A1B" w14:textId="77777777" w:rsidR="00492909" w:rsidRPr="00E17647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1.</w:t>
            </w:r>
            <w:r>
              <w:rPr>
                <w:rFonts w:ascii="GoodPro" w:hAnsi="GoodPro" w:cs="Tahoma"/>
                <w:sz w:val="16"/>
                <w:szCs w:val="16"/>
              </w:rPr>
              <w:t>7</w:t>
            </w:r>
            <w:r w:rsidRPr="00E17647">
              <w:rPr>
                <w:rFonts w:ascii="GoodPro" w:hAnsi="GoodPro" w:cs="Tahoma"/>
                <w:sz w:val="16"/>
                <w:szCs w:val="1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EB6D" w14:textId="77777777" w:rsidR="00492909" w:rsidRPr="00AA458A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AA458A">
              <w:rPr>
                <w:rFonts w:ascii="GoodPro" w:hAnsi="GoodPro" w:cs="Tahoma"/>
                <w:sz w:val="16"/>
                <w:szCs w:val="16"/>
              </w:rPr>
              <w:t>Операция по переносу непокрытых позиций (в долларах США)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AAD5" w14:textId="77777777" w:rsidR="00492909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AA458A">
              <w:rPr>
                <w:rFonts w:ascii="GoodPro" w:hAnsi="GoodPro" w:cs="Tahoma"/>
                <w:sz w:val="16"/>
                <w:szCs w:val="16"/>
              </w:rPr>
              <w:t xml:space="preserve">0,02% от объема открытия операций за каждый день (минимум 10 тенге) </w:t>
            </w:r>
          </w:p>
          <w:p w14:paraId="28AF9F7F" w14:textId="77777777" w:rsidR="00492909" w:rsidRPr="00AA458A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AA458A">
              <w:rPr>
                <w:rFonts w:ascii="GoodPro" w:hAnsi="GoodPro" w:cs="Tahoma"/>
                <w:sz w:val="16"/>
                <w:szCs w:val="16"/>
              </w:rPr>
              <w:t>Ставка вознаграждения по операции по переносу непокрытых позиций составляет не более 12% годовых.</w:t>
            </w:r>
          </w:p>
        </w:tc>
      </w:tr>
      <w:tr w:rsidR="00492909" w:rsidRPr="008D737F" w14:paraId="1EEC5B6E" w14:textId="77777777" w:rsidTr="00F26238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146A" w14:textId="77777777" w:rsidR="00492909" w:rsidRPr="00E17647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  <w:lang w:val="en-US"/>
              </w:rPr>
            </w:pPr>
            <w:r w:rsidRPr="00E17647">
              <w:rPr>
                <w:rFonts w:ascii="GoodPro" w:hAnsi="GoodPro" w:cs="Tahoma"/>
                <w:sz w:val="16"/>
                <w:szCs w:val="16"/>
                <w:lang w:val="en-US"/>
              </w:rPr>
              <w:t>1.</w:t>
            </w:r>
            <w:r>
              <w:rPr>
                <w:rFonts w:ascii="GoodPro" w:hAnsi="GoodPro" w:cs="Tahoma"/>
                <w:sz w:val="16"/>
                <w:szCs w:val="16"/>
              </w:rPr>
              <w:t>8</w:t>
            </w:r>
            <w:r w:rsidRPr="00E17647">
              <w:rPr>
                <w:rFonts w:ascii="GoodPro" w:hAnsi="GoodPro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2178" w14:textId="77777777" w:rsidR="00492909" w:rsidRPr="00E17647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 xml:space="preserve">Покупка долговых ценных бумаг Брокера в рамках их первичного размещения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AED8" w14:textId="77777777" w:rsidR="00492909" w:rsidRPr="00E17647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0 тенге</w:t>
            </w:r>
          </w:p>
        </w:tc>
      </w:tr>
      <w:tr w:rsidR="00492909" w:rsidRPr="008D737F" w14:paraId="78FAB7BF" w14:textId="77777777" w:rsidTr="00F26238">
        <w:trPr>
          <w:trHeight w:val="276"/>
        </w:trPr>
        <w:tc>
          <w:tcPr>
            <w:tcW w:w="9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14:paraId="6C7C55F6" w14:textId="77777777" w:rsidR="00492909" w:rsidRPr="00E17647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b/>
                <w:sz w:val="16"/>
                <w:szCs w:val="16"/>
              </w:rPr>
            </w:pPr>
            <w:r w:rsidRPr="00E17647">
              <w:rPr>
                <w:rFonts w:ascii="GoodPro" w:hAnsi="GoodPro" w:cs="Tahoma"/>
                <w:b/>
                <w:sz w:val="16"/>
                <w:szCs w:val="16"/>
              </w:rPr>
              <w:t>2. УСЛУГИ НОМИНАЛЬНОГО ДЕРЖАНИЯ</w:t>
            </w:r>
          </w:p>
        </w:tc>
      </w:tr>
      <w:tr w:rsidR="00492909" w:rsidRPr="008D737F" w14:paraId="26107D35" w14:textId="77777777" w:rsidTr="00F26238">
        <w:trPr>
          <w:trHeight w:val="276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8247B" w14:textId="77777777" w:rsidR="00492909" w:rsidRPr="00E17647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2.1.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C5388" w14:textId="77777777" w:rsidR="00492909" w:rsidRPr="00E17647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Открытие, закрытие лицевого счета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D61DF" w14:textId="77777777" w:rsidR="00492909" w:rsidRPr="00E17647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Бесплатно</w:t>
            </w:r>
          </w:p>
        </w:tc>
      </w:tr>
      <w:tr w:rsidR="00492909" w:rsidRPr="008D737F" w14:paraId="4D680FB3" w14:textId="77777777" w:rsidTr="00F26238">
        <w:trPr>
          <w:trHeight w:val="1037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021E2" w14:textId="77777777" w:rsidR="00492909" w:rsidRPr="00E17647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2.2.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0CDD1" w14:textId="77777777" w:rsidR="00492909" w:rsidRPr="00E17647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Номинальное держание (хранение и учет активов)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4A849" w14:textId="77777777" w:rsidR="00492909" w:rsidRPr="00E17647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b/>
                <w:bCs/>
                <w:sz w:val="16"/>
                <w:szCs w:val="16"/>
              </w:rPr>
              <w:t>• 3 000</w:t>
            </w:r>
            <w:r w:rsidRPr="00E17647">
              <w:rPr>
                <w:rFonts w:ascii="GoodPro" w:hAnsi="GoodPro" w:cs="Tahoma"/>
                <w:sz w:val="16"/>
                <w:szCs w:val="16"/>
              </w:rPr>
              <w:t xml:space="preserve"> тенге *** в месяц, но не более размера остатка денег на счете Клиента</w:t>
            </w:r>
          </w:p>
          <w:p w14:paraId="5558DECC" w14:textId="77777777" w:rsidR="00492909" w:rsidRPr="00E17647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  <w:lang w:val="kk-KZ"/>
              </w:rPr>
            </w:pPr>
            <w:r w:rsidRPr="00E17647">
              <w:rPr>
                <w:rFonts w:ascii="GoodPro" w:hAnsi="GoodPro" w:cs="Tahoma"/>
                <w:b/>
                <w:bCs/>
                <w:sz w:val="16"/>
                <w:szCs w:val="16"/>
              </w:rPr>
              <w:t>•  Бесплатно</w:t>
            </w:r>
            <w:r w:rsidRPr="00E17647">
              <w:rPr>
                <w:rFonts w:ascii="GoodPro" w:hAnsi="GoodPro" w:cs="Tahoma"/>
                <w:sz w:val="16"/>
                <w:szCs w:val="16"/>
              </w:rPr>
              <w:t xml:space="preserve"> ** – если была заключена одна (и более) сделка (покупка/ продажа ЦБ) в течение расчетного месяца</w:t>
            </w:r>
          </w:p>
        </w:tc>
      </w:tr>
      <w:tr w:rsidR="00492909" w:rsidRPr="008D737F" w14:paraId="6A8A7E03" w14:textId="77777777" w:rsidTr="00F26238">
        <w:trPr>
          <w:trHeight w:val="624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F2CD5" w14:textId="77777777" w:rsidR="00492909" w:rsidRPr="00E17647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2.3.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D7A2F3" w14:textId="77777777" w:rsidR="00492909" w:rsidRPr="00E17647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Зачисление ценных бумаг (в т.ч., ввод в номинальное держание) / Зачисление денег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30743" w14:textId="77777777" w:rsidR="00492909" w:rsidRPr="00E17647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 xml:space="preserve">Бесплатно* </w:t>
            </w:r>
            <w:r w:rsidRPr="00E17647">
              <w:rPr>
                <w:rFonts w:ascii="GoodPro" w:hAnsi="GoodPro" w:cs="Tahoma"/>
                <w:sz w:val="16"/>
                <w:szCs w:val="16"/>
              </w:rPr>
              <w:br/>
              <w:t>(комиссия банков-корреспондентов, системы эквайринга удерживается при переводе)</w:t>
            </w:r>
          </w:p>
        </w:tc>
      </w:tr>
      <w:tr w:rsidR="00492909" w:rsidRPr="008D737F" w14:paraId="6E27416F" w14:textId="77777777" w:rsidTr="00F26238">
        <w:trPr>
          <w:trHeight w:val="276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12FDA" w14:textId="77777777" w:rsidR="00492909" w:rsidRPr="00E17647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2.4.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659436" w14:textId="77777777" w:rsidR="00492909" w:rsidRPr="00E17647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Списание ценных бумаг (в т.ч. вывод из номинального держания)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F3C989" w14:textId="77777777" w:rsidR="00492909" w:rsidRPr="00E17647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4000 тенге, в случае</w:t>
            </w:r>
          </w:p>
          <w:p w14:paraId="3E877884" w14:textId="77777777" w:rsidR="00492909" w:rsidRPr="00E17647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E17647">
              <w:rPr>
                <w:rFonts w:ascii="GoodPro" w:hAnsi="GoodPro" w:cs="Tahoma"/>
                <w:sz w:val="16"/>
                <w:szCs w:val="16"/>
              </w:rPr>
              <w:t>вывода из AIX - 0,50% от суммы операции, минимум 50 000 тенге</w:t>
            </w:r>
          </w:p>
        </w:tc>
      </w:tr>
      <w:tr w:rsidR="00492909" w:rsidRPr="008D737F" w14:paraId="401C9C49" w14:textId="77777777" w:rsidTr="00F26238">
        <w:trPr>
          <w:trHeight w:val="51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62539" w14:textId="77777777" w:rsidR="00492909" w:rsidRPr="008D737F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2.5.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CEFD1C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Списание денежных средств (KZT)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D0E953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Срочный платеж – 1500 тенге</w:t>
            </w:r>
          </w:p>
          <w:p w14:paraId="2193D9F0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Обычный платеж – 600 тенге</w:t>
            </w:r>
          </w:p>
        </w:tc>
      </w:tr>
      <w:tr w:rsidR="00492909" w:rsidRPr="008D737F" w14:paraId="0D374D72" w14:textId="77777777" w:rsidTr="00F26238">
        <w:trPr>
          <w:trHeight w:val="284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47D07" w14:textId="77777777" w:rsidR="00492909" w:rsidRPr="008D737F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2.6.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5D4D95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Валютный перевод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63760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0,3% от суммы перевода (</w:t>
            </w:r>
            <w:r w:rsidRPr="008D737F">
              <w:rPr>
                <w:rFonts w:ascii="GoodPro" w:hAnsi="GoodPro" w:cs="Tahoma"/>
                <w:sz w:val="16"/>
                <w:szCs w:val="16"/>
                <w:lang w:val="kk-KZ"/>
              </w:rPr>
              <w:t>минимум</w:t>
            </w:r>
            <w:r w:rsidRPr="008D737F">
              <w:rPr>
                <w:rFonts w:ascii="GoodPro" w:hAnsi="GoodPro" w:cs="Tahoma"/>
                <w:sz w:val="16"/>
                <w:szCs w:val="16"/>
              </w:rPr>
              <w:t xml:space="preserve"> 15 000 тенге)</w:t>
            </w:r>
          </w:p>
        </w:tc>
      </w:tr>
      <w:tr w:rsidR="00492909" w:rsidRPr="008D737F" w14:paraId="21B3B550" w14:textId="77777777" w:rsidTr="00F26238">
        <w:trPr>
          <w:trHeight w:val="276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2D3BA" w14:textId="77777777" w:rsidR="00492909" w:rsidRPr="008D737F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2.7.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A13AB9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Конвертация денежных средств, по курсу банка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68EDE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0,2% от суммы сделки</w:t>
            </w:r>
          </w:p>
        </w:tc>
      </w:tr>
      <w:tr w:rsidR="00492909" w:rsidRPr="008D737F" w14:paraId="40B234CF" w14:textId="77777777" w:rsidTr="00F26238">
        <w:trPr>
          <w:trHeight w:val="284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F8FAA" w14:textId="77777777" w:rsidR="00492909" w:rsidRPr="008D737F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2.8.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718D1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Регистрация залоговых операций/обременения финансовых инструментов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FFDC46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2 000 тенге</w:t>
            </w:r>
          </w:p>
        </w:tc>
      </w:tr>
      <w:tr w:rsidR="00492909" w:rsidRPr="008D737F" w14:paraId="2ECB9ED1" w14:textId="77777777" w:rsidTr="00F26238">
        <w:trPr>
          <w:trHeight w:val="276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0B8B4" w14:textId="77777777" w:rsidR="00492909" w:rsidRPr="008D737F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2.9.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DA7A27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Отчетность перед Клиентом</w:t>
            </w:r>
          </w:p>
        </w:tc>
        <w:tc>
          <w:tcPr>
            <w:tcW w:w="3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8CFCD1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</w:p>
        </w:tc>
      </w:tr>
      <w:tr w:rsidR="00492909" w:rsidRPr="008D737F" w14:paraId="66DD0BE9" w14:textId="77777777" w:rsidTr="00F26238">
        <w:trPr>
          <w:trHeight w:val="276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9876F1" w14:textId="77777777" w:rsidR="00492909" w:rsidRPr="008D737F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17CC2C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Уведомление об исполнении/неисполнении операций по лицевому счету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09EE8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>
              <w:rPr>
                <w:rFonts w:ascii="GoodPro" w:hAnsi="GoodPro" w:cs="Tahoma"/>
                <w:sz w:val="16"/>
                <w:szCs w:val="16"/>
              </w:rPr>
              <w:t>Бесплатно</w:t>
            </w:r>
          </w:p>
        </w:tc>
      </w:tr>
      <w:tr w:rsidR="00492909" w:rsidRPr="008D737F" w14:paraId="3424A362" w14:textId="77777777" w:rsidTr="00F26238">
        <w:trPr>
          <w:trHeight w:val="276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1EDD7C" w14:textId="77777777" w:rsidR="00492909" w:rsidRPr="008D737F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23B0D8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Выписка с лицевого счета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41D4B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2 000 тенге</w:t>
            </w:r>
          </w:p>
        </w:tc>
      </w:tr>
      <w:tr w:rsidR="00492909" w:rsidRPr="008D737F" w14:paraId="300BBEC4" w14:textId="77777777" w:rsidTr="00F26238">
        <w:trPr>
          <w:trHeight w:val="276"/>
        </w:trPr>
        <w:tc>
          <w:tcPr>
            <w:tcW w:w="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9CB7F8" w14:textId="77777777" w:rsidR="00492909" w:rsidRPr="008D737F" w:rsidRDefault="00492909" w:rsidP="00F26238">
            <w:pPr>
              <w:autoSpaceDE w:val="0"/>
              <w:autoSpaceDN w:val="0"/>
              <w:adjustRightInd w:val="0"/>
              <w:jc w:val="center"/>
              <w:rPr>
                <w:rFonts w:ascii="GoodPro" w:hAnsi="GoodPro" w:cs="Tahoma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14:paraId="234AAF57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Отчет о движении ценных бумаг и денежных средств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55508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>
              <w:rPr>
                <w:rFonts w:ascii="GoodPro" w:hAnsi="GoodPro" w:cs="Tahoma"/>
                <w:sz w:val="16"/>
                <w:szCs w:val="16"/>
              </w:rPr>
              <w:t>Бесплатно</w:t>
            </w:r>
          </w:p>
        </w:tc>
      </w:tr>
      <w:tr w:rsidR="00492909" w:rsidRPr="008D737F" w14:paraId="63C3F865" w14:textId="77777777" w:rsidTr="00F26238">
        <w:trPr>
          <w:trHeight w:val="276"/>
        </w:trPr>
        <w:tc>
          <w:tcPr>
            <w:tcW w:w="9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14:paraId="4DA23B26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b/>
                <w:sz w:val="16"/>
                <w:szCs w:val="16"/>
              </w:rPr>
            </w:pPr>
            <w:r w:rsidRPr="008D737F">
              <w:rPr>
                <w:rFonts w:ascii="GoodPro" w:hAnsi="GoodPro" w:cs="Tahoma"/>
                <w:b/>
                <w:sz w:val="16"/>
                <w:szCs w:val="16"/>
              </w:rPr>
              <w:t xml:space="preserve">3. ПРОЧИЕ УСЛУГИ </w:t>
            </w:r>
          </w:p>
        </w:tc>
      </w:tr>
      <w:tr w:rsidR="00492909" w:rsidRPr="008D737F" w14:paraId="4575F535" w14:textId="77777777" w:rsidTr="00F26238">
        <w:trPr>
          <w:trHeight w:val="51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D217E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3.1.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AC0B5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Выпуск ключей электронной цифровой подписи в удостоверяющем центре Казахстанского Центра Межбанковских Расчетов НБ РК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DFA2D0" w14:textId="77777777" w:rsidR="00492909" w:rsidRPr="008D737F" w:rsidRDefault="00492909" w:rsidP="00F26238">
            <w:pPr>
              <w:autoSpaceDE w:val="0"/>
              <w:autoSpaceDN w:val="0"/>
              <w:adjustRightInd w:val="0"/>
              <w:rPr>
                <w:rFonts w:ascii="GoodPro" w:hAnsi="GoodPro" w:cs="Tahoma"/>
                <w:sz w:val="16"/>
                <w:szCs w:val="16"/>
              </w:rPr>
            </w:pPr>
            <w:r w:rsidRPr="008D737F">
              <w:rPr>
                <w:rFonts w:ascii="GoodPro" w:hAnsi="GoodPro" w:cs="Tahoma"/>
                <w:sz w:val="16"/>
                <w:szCs w:val="16"/>
              </w:rPr>
              <w:t>4 000 тенге</w:t>
            </w:r>
          </w:p>
        </w:tc>
      </w:tr>
    </w:tbl>
    <w:p w14:paraId="594CBE74" w14:textId="77777777" w:rsidR="00492909" w:rsidRPr="003D650E" w:rsidRDefault="00492909" w:rsidP="00492909">
      <w:pPr>
        <w:rPr>
          <w:rFonts w:ascii="GoodPro" w:hAnsi="GoodPro" w:cs="Tahoma"/>
          <w:b/>
          <w:sz w:val="18"/>
          <w:szCs w:val="14"/>
          <w:u w:val="single"/>
        </w:rPr>
      </w:pPr>
      <w:r w:rsidRPr="003D650E">
        <w:rPr>
          <w:rFonts w:ascii="GoodPro" w:hAnsi="GoodPro" w:cs="Tahoma"/>
          <w:b/>
          <w:sz w:val="18"/>
          <w:szCs w:val="14"/>
          <w:u w:val="single"/>
        </w:rPr>
        <w:t>Сопутствующие накладные расходы</w:t>
      </w:r>
    </w:p>
    <w:p w14:paraId="70335DED" w14:textId="77777777" w:rsidR="00492909" w:rsidRPr="003D650E" w:rsidRDefault="00492909" w:rsidP="00492909">
      <w:pPr>
        <w:rPr>
          <w:rFonts w:ascii="GoodPro" w:hAnsi="GoodPro" w:cs="Tahoma"/>
          <w:sz w:val="18"/>
          <w:szCs w:val="14"/>
        </w:rPr>
      </w:pPr>
      <w:r w:rsidRPr="003D650E">
        <w:rPr>
          <w:rFonts w:ascii="GoodPro" w:hAnsi="GoodPro" w:cs="Tahoma"/>
          <w:sz w:val="18"/>
          <w:szCs w:val="14"/>
        </w:rPr>
        <w:t xml:space="preserve">* - в рамках проведения </w:t>
      </w:r>
      <w:r w:rsidRPr="003D650E">
        <w:rPr>
          <w:rFonts w:ascii="GoodPro" w:hAnsi="GoodPro" w:cs="Tahoma"/>
          <w:sz w:val="18"/>
          <w:szCs w:val="14"/>
          <w:lang w:val="en-US"/>
        </w:rPr>
        <w:t>IPO</w:t>
      </w:r>
      <w:r w:rsidRPr="003D650E">
        <w:rPr>
          <w:rFonts w:ascii="GoodPro" w:hAnsi="GoodPro" w:cs="Tahoma"/>
          <w:sz w:val="18"/>
          <w:szCs w:val="14"/>
        </w:rPr>
        <w:t xml:space="preserve"> (публичное размещение акций) дополнительно взимается комиссия Биржи</w:t>
      </w:r>
    </w:p>
    <w:p w14:paraId="7DA73B9D" w14:textId="77777777" w:rsidR="00492909" w:rsidRPr="003D650E" w:rsidRDefault="00492909" w:rsidP="00492909">
      <w:pPr>
        <w:rPr>
          <w:rFonts w:ascii="GoodPro" w:hAnsi="GoodPro" w:cs="Tahoma"/>
          <w:sz w:val="18"/>
          <w:szCs w:val="14"/>
        </w:rPr>
      </w:pPr>
      <w:r w:rsidRPr="003D650E">
        <w:rPr>
          <w:rFonts w:ascii="GoodPro" w:hAnsi="GoodPro" w:cs="Tahoma"/>
          <w:sz w:val="18"/>
          <w:szCs w:val="14"/>
        </w:rPr>
        <w:t xml:space="preserve">** - Не включены </w:t>
      </w:r>
      <w:r w:rsidRPr="003D650E">
        <w:rPr>
          <w:rFonts w:ascii="GoodPro" w:hAnsi="GoodPro" w:cs="Tahoma"/>
          <w:sz w:val="18"/>
          <w:szCs w:val="14"/>
          <w:lang w:val="kk-KZ"/>
        </w:rPr>
        <w:t>комиссии</w:t>
      </w:r>
      <w:r w:rsidRPr="003D650E">
        <w:rPr>
          <w:rFonts w:ascii="GoodPro" w:hAnsi="GoodPro" w:cs="Tahoma"/>
          <w:sz w:val="18"/>
          <w:szCs w:val="14"/>
        </w:rPr>
        <w:t xml:space="preserve"> на услуги сторонних организаций, задействованных в сопровождении сделки</w:t>
      </w:r>
    </w:p>
    <w:p w14:paraId="13A6F33E" w14:textId="77777777" w:rsidR="00492909" w:rsidRPr="003D650E" w:rsidRDefault="00492909" w:rsidP="00492909">
      <w:pPr>
        <w:rPr>
          <w:rFonts w:ascii="GoodPro" w:hAnsi="GoodPro" w:cs="Tahoma"/>
          <w:sz w:val="18"/>
          <w:szCs w:val="14"/>
        </w:rPr>
      </w:pPr>
      <w:r w:rsidRPr="003D650E">
        <w:rPr>
          <w:rFonts w:ascii="GoodPro" w:hAnsi="GoodPro" w:cs="Tahoma"/>
          <w:sz w:val="18"/>
          <w:szCs w:val="14"/>
        </w:rPr>
        <w:lastRenderedPageBreak/>
        <w:t xml:space="preserve">*** - Комиссия </w:t>
      </w:r>
      <w:proofErr w:type="spellStart"/>
      <w:r w:rsidRPr="003D650E">
        <w:rPr>
          <w:rFonts w:ascii="GoodPro" w:hAnsi="GoodPro" w:cs="Tahoma"/>
          <w:sz w:val="18"/>
          <w:szCs w:val="14"/>
        </w:rPr>
        <w:t>Кастодиана</w:t>
      </w:r>
      <w:proofErr w:type="spellEnd"/>
      <w:r w:rsidRPr="003D650E">
        <w:rPr>
          <w:rFonts w:ascii="GoodPro" w:hAnsi="GoodPro" w:cs="Tahoma"/>
          <w:sz w:val="18"/>
          <w:szCs w:val="14"/>
        </w:rPr>
        <w:t>, Центрального депозитария ценных бумаг, зарубежных депозитариев выставляются отдельно</w:t>
      </w:r>
    </w:p>
    <w:p w14:paraId="06CE5915" w14:textId="77777777" w:rsidR="00492909" w:rsidRPr="003D650E" w:rsidRDefault="00492909" w:rsidP="00492909">
      <w:pPr>
        <w:rPr>
          <w:rFonts w:ascii="GoodPro" w:hAnsi="GoodPro" w:cs="Tahoma"/>
          <w:b/>
          <w:sz w:val="18"/>
          <w:szCs w:val="14"/>
          <w:u w:val="single"/>
          <w:lang w:val="kk-KZ"/>
        </w:rPr>
      </w:pPr>
      <w:r w:rsidRPr="003D650E">
        <w:rPr>
          <w:rFonts w:ascii="GoodPro" w:hAnsi="GoodPro" w:cs="Tahoma"/>
          <w:b/>
          <w:sz w:val="18"/>
          <w:szCs w:val="14"/>
          <w:u w:val="single"/>
          <w:lang w:val="kk-KZ"/>
        </w:rPr>
        <w:t>Выбор и изменение тарифа</w:t>
      </w:r>
    </w:p>
    <w:p w14:paraId="353C4003" w14:textId="77777777" w:rsidR="00492909" w:rsidRPr="003D650E" w:rsidRDefault="00492909" w:rsidP="00492909">
      <w:pPr>
        <w:jc w:val="both"/>
        <w:rPr>
          <w:rFonts w:ascii="GoodPro" w:hAnsi="GoodPro" w:cs="Tahoma"/>
          <w:sz w:val="18"/>
          <w:szCs w:val="14"/>
        </w:rPr>
      </w:pPr>
      <w:r w:rsidRPr="003D650E">
        <w:rPr>
          <w:rFonts w:ascii="GoodPro" w:hAnsi="GoodPro" w:cs="Tahoma"/>
          <w:sz w:val="18"/>
          <w:szCs w:val="14"/>
        </w:rPr>
        <w:t>При заключении Договора на брокерское обслуживание (с номинальным держанием/без номинального держания), Клиент самостоятельно выбирает один из предлагаемых тариф</w:t>
      </w:r>
      <w:r w:rsidRPr="003D650E">
        <w:rPr>
          <w:rFonts w:ascii="GoodPro" w:hAnsi="GoodPro" w:cs="Tahoma"/>
          <w:sz w:val="18"/>
          <w:szCs w:val="14"/>
          <w:lang w:val="kk-KZ"/>
        </w:rPr>
        <w:t>ов</w:t>
      </w:r>
      <w:r w:rsidRPr="003D650E">
        <w:rPr>
          <w:rFonts w:ascii="GoodPro" w:hAnsi="GoodPro" w:cs="Tahoma"/>
          <w:sz w:val="18"/>
          <w:szCs w:val="14"/>
        </w:rPr>
        <w:t xml:space="preserve">. </w:t>
      </w:r>
    </w:p>
    <w:p w14:paraId="63709492" w14:textId="77777777" w:rsidR="00492909" w:rsidRPr="003D650E" w:rsidRDefault="00492909" w:rsidP="00492909">
      <w:pPr>
        <w:jc w:val="both"/>
        <w:rPr>
          <w:rFonts w:ascii="GoodPro" w:hAnsi="GoodPro" w:cs="Tahoma"/>
          <w:sz w:val="18"/>
          <w:szCs w:val="14"/>
        </w:rPr>
      </w:pPr>
      <w:r w:rsidRPr="003D650E">
        <w:rPr>
          <w:rFonts w:ascii="GoodPro" w:hAnsi="GoodPro" w:cs="Tahoma"/>
          <w:sz w:val="18"/>
          <w:szCs w:val="14"/>
        </w:rPr>
        <w:t xml:space="preserve">При желании Клиента перейти на другой тариф необходимо подать </w:t>
      </w:r>
      <w:r w:rsidRPr="003D650E">
        <w:rPr>
          <w:rFonts w:ascii="GoodPro" w:hAnsi="GoodPro" w:cs="Tahoma"/>
          <w:sz w:val="18"/>
          <w:szCs w:val="14"/>
          <w:lang w:val="kk-KZ"/>
        </w:rPr>
        <w:t>приказ</w:t>
      </w:r>
      <w:r w:rsidRPr="003D650E">
        <w:rPr>
          <w:rFonts w:ascii="GoodPro" w:hAnsi="GoodPro" w:cs="Tahoma"/>
          <w:sz w:val="18"/>
          <w:szCs w:val="14"/>
        </w:rPr>
        <w:t xml:space="preserve"> на смену тариф</w:t>
      </w:r>
      <w:r w:rsidRPr="003D650E">
        <w:rPr>
          <w:rFonts w:ascii="GoodPro" w:hAnsi="GoodPro" w:cs="Tahoma"/>
          <w:sz w:val="18"/>
          <w:szCs w:val="14"/>
          <w:lang w:val="kk-KZ"/>
        </w:rPr>
        <w:t>а</w:t>
      </w:r>
      <w:r w:rsidRPr="003D650E">
        <w:rPr>
          <w:rFonts w:ascii="GoodPro" w:hAnsi="GoodPro" w:cs="Tahoma"/>
          <w:sz w:val="18"/>
          <w:szCs w:val="14"/>
        </w:rPr>
        <w:t xml:space="preserve"> (нарочно или через </w:t>
      </w:r>
      <w:r w:rsidRPr="003D650E">
        <w:rPr>
          <w:rFonts w:ascii="GoodPro" w:hAnsi="GoodPro" w:cs="Tahoma"/>
          <w:sz w:val="18"/>
          <w:szCs w:val="14"/>
          <w:lang w:val="kk-KZ"/>
        </w:rPr>
        <w:t xml:space="preserve">платформу </w:t>
      </w:r>
      <w:proofErr w:type="spellStart"/>
      <w:r w:rsidRPr="003D650E">
        <w:rPr>
          <w:rFonts w:ascii="GoodPro" w:hAnsi="GoodPro" w:cs="Tahoma"/>
          <w:sz w:val="18"/>
          <w:szCs w:val="14"/>
          <w:lang w:val="en-US"/>
        </w:rPr>
        <w:t>Tradernet</w:t>
      </w:r>
      <w:proofErr w:type="spellEnd"/>
      <w:r w:rsidRPr="003D650E">
        <w:rPr>
          <w:rFonts w:ascii="GoodPro" w:hAnsi="GoodPro" w:cs="Tahoma"/>
          <w:sz w:val="18"/>
          <w:szCs w:val="14"/>
        </w:rPr>
        <w:t>). При переходе на новый тариф</w:t>
      </w:r>
      <w:r w:rsidRPr="003D650E">
        <w:rPr>
          <w:rFonts w:ascii="GoodPro" w:hAnsi="GoodPro" w:cs="Tahoma"/>
          <w:sz w:val="18"/>
          <w:szCs w:val="14"/>
          <w:lang w:val="kk-KZ"/>
        </w:rPr>
        <w:t xml:space="preserve"> </w:t>
      </w:r>
      <w:r w:rsidRPr="003D650E">
        <w:rPr>
          <w:rFonts w:ascii="GoodPro" w:hAnsi="GoodPro" w:cs="Tahoma"/>
          <w:sz w:val="18"/>
          <w:szCs w:val="14"/>
        </w:rPr>
        <w:t xml:space="preserve">– тариф вступает в силу в день, следующий за днем регистрации </w:t>
      </w:r>
      <w:r w:rsidRPr="003D650E">
        <w:rPr>
          <w:rFonts w:ascii="GoodPro" w:hAnsi="GoodPro" w:cs="Tahoma"/>
          <w:sz w:val="18"/>
          <w:szCs w:val="14"/>
          <w:lang w:val="kk-KZ"/>
        </w:rPr>
        <w:t>приказа</w:t>
      </w:r>
      <w:r w:rsidRPr="003D650E">
        <w:rPr>
          <w:rFonts w:ascii="GoodPro" w:hAnsi="GoodPro" w:cs="Tahoma"/>
          <w:sz w:val="18"/>
          <w:szCs w:val="14"/>
        </w:rPr>
        <w:t xml:space="preserve"> на изменение тарифного плана. </w:t>
      </w:r>
    </w:p>
    <w:p w14:paraId="71008AF0" w14:textId="77777777" w:rsidR="00492909" w:rsidRPr="003D650E" w:rsidRDefault="00492909" w:rsidP="00492909">
      <w:pPr>
        <w:rPr>
          <w:rFonts w:ascii="GoodPro" w:hAnsi="GoodPro" w:cs="Tahoma"/>
          <w:b/>
          <w:sz w:val="18"/>
          <w:szCs w:val="14"/>
          <w:u w:val="single"/>
        </w:rPr>
      </w:pPr>
      <w:r w:rsidRPr="003D650E">
        <w:rPr>
          <w:rFonts w:ascii="GoodPro" w:hAnsi="GoodPro" w:cs="Tahoma"/>
          <w:b/>
          <w:sz w:val="18"/>
          <w:szCs w:val="14"/>
          <w:u w:val="single"/>
        </w:rPr>
        <w:t xml:space="preserve">Примечание </w:t>
      </w:r>
    </w:p>
    <w:p w14:paraId="3CDF1A97" w14:textId="77777777" w:rsidR="00492909" w:rsidRPr="003D650E" w:rsidRDefault="00492909" w:rsidP="00492909">
      <w:pPr>
        <w:rPr>
          <w:rFonts w:ascii="GoodPro" w:hAnsi="GoodPro" w:cs="Tahoma"/>
          <w:sz w:val="18"/>
          <w:szCs w:val="14"/>
        </w:rPr>
      </w:pPr>
      <w:r w:rsidRPr="003D650E">
        <w:rPr>
          <w:rFonts w:ascii="GoodPro" w:hAnsi="GoodPro" w:cs="Tahoma"/>
          <w:sz w:val="18"/>
          <w:szCs w:val="14"/>
        </w:rPr>
        <w:t xml:space="preserve">Для всех тарифов при расчете применяется округление тиын в большую сторону до целого тенге. </w:t>
      </w:r>
    </w:p>
    <w:p w14:paraId="560BE101" w14:textId="77777777" w:rsidR="00492909" w:rsidRDefault="00492909" w:rsidP="00492909">
      <w:pPr>
        <w:rPr>
          <w:rFonts w:ascii="Good Pro Light" w:hAnsi="Good Pro Light" w:cs="Tahoma"/>
          <w:sz w:val="16"/>
          <w:szCs w:val="18"/>
        </w:rPr>
      </w:pPr>
    </w:p>
    <w:p w14:paraId="20C3CE83" w14:textId="77777777" w:rsidR="00B435A3" w:rsidRDefault="00B435A3"/>
    <w:sectPr w:rsidR="00B435A3" w:rsidSect="004929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od Pro Light">
    <w:altName w:val="Calibri"/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odPro">
    <w:altName w:val="Calibri"/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Good Pro Medium">
    <w:altName w:val="Calibri"/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09"/>
    <w:rsid w:val="00492909"/>
    <w:rsid w:val="007105DE"/>
    <w:rsid w:val="00B4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0B72"/>
  <w15:chartTrackingRefBased/>
  <w15:docId w15:val="{B9B1589F-A7FA-4A9D-9EF1-62FB7ADA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Умит Досниязова</dc:creator>
  <cp:keywords/>
  <dc:description/>
  <cp:lastModifiedBy>Умит Досниязова</cp:lastModifiedBy>
  <cp:revision>2</cp:revision>
  <dcterms:created xsi:type="dcterms:W3CDTF">2022-03-15T08:13:00Z</dcterms:created>
  <dcterms:modified xsi:type="dcterms:W3CDTF">2022-03-15T08:13:00Z</dcterms:modified>
</cp:coreProperties>
</file>